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DB" w:rsidRDefault="001B503F">
      <w:pPr>
        <w:spacing w:line="40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武汉工程大学</w:t>
      </w:r>
    </w:p>
    <w:p w:rsidR="00F750DB" w:rsidRDefault="001B503F">
      <w:pPr>
        <w:spacing w:line="400" w:lineRule="exact"/>
        <w:jc w:val="center"/>
        <w:rPr>
          <w:rFonts w:ascii="黑体" w:eastAsia="黑体" w:hAnsi="黑体"/>
          <w:b/>
          <w:sz w:val="36"/>
          <w:szCs w:val="36"/>
        </w:rPr>
      </w:pPr>
      <w:bookmarkStart w:id="0" w:name="OLE_LINK19"/>
      <w:bookmarkStart w:id="1" w:name="OLE_LINK20"/>
      <w:bookmarkStart w:id="2" w:name="OLE_LINK21"/>
      <w:bookmarkStart w:id="3" w:name="OLE_LINK22"/>
      <w:r>
        <w:rPr>
          <w:rFonts w:ascii="黑体" w:eastAsia="黑体" w:hAnsi="黑体" w:hint="eastAsia"/>
          <w:b/>
          <w:sz w:val="36"/>
          <w:szCs w:val="36"/>
        </w:rPr>
        <w:t>课程教学大纲修订及上网</w:t>
      </w:r>
      <w:r w:rsidR="006C166C">
        <w:rPr>
          <w:rFonts w:ascii="黑体" w:eastAsia="黑体" w:hAnsi="黑体" w:hint="eastAsia"/>
          <w:b/>
          <w:sz w:val="36"/>
          <w:szCs w:val="36"/>
        </w:rPr>
        <w:t>情况</w:t>
      </w:r>
      <w:r>
        <w:rPr>
          <w:rFonts w:ascii="黑体" w:eastAsia="黑体" w:hAnsi="黑体" w:hint="eastAsia"/>
          <w:b/>
          <w:sz w:val="36"/>
          <w:szCs w:val="36"/>
        </w:rPr>
        <w:t>专项评价表</w:t>
      </w:r>
    </w:p>
    <w:bookmarkEnd w:id="0"/>
    <w:bookmarkEnd w:id="1"/>
    <w:bookmarkEnd w:id="2"/>
    <w:bookmarkEnd w:id="3"/>
    <w:p w:rsidR="00F750DB" w:rsidRDefault="001B503F">
      <w:pPr>
        <w:spacing w:line="40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（学科基础课、专业主干课、专业方向课）</w:t>
      </w:r>
    </w:p>
    <w:tbl>
      <w:tblPr>
        <w:tblStyle w:val="a7"/>
        <w:tblW w:w="14175" w:type="dxa"/>
        <w:tblLayout w:type="fixed"/>
        <w:tblLook w:val="0600" w:firstRow="0" w:lastRow="0" w:firstColumn="0" w:lastColumn="0" w:noHBand="1" w:noVBand="1"/>
      </w:tblPr>
      <w:tblGrid>
        <w:gridCol w:w="1772"/>
        <w:gridCol w:w="1880"/>
        <w:gridCol w:w="567"/>
        <w:gridCol w:w="2868"/>
        <w:gridCol w:w="1771"/>
        <w:gridCol w:w="4150"/>
        <w:gridCol w:w="1167"/>
      </w:tblGrid>
      <w:tr w:rsidR="00F750DB" w:rsidTr="00DD671C">
        <w:trPr>
          <w:cantSplit/>
          <w:trHeight w:hRule="exact" w:val="567"/>
          <w:tblHeader/>
        </w:trPr>
        <w:tc>
          <w:tcPr>
            <w:tcW w:w="1772" w:type="dxa"/>
            <w:vAlign w:val="center"/>
          </w:tcPr>
          <w:p w:rsidR="00F750DB" w:rsidRDefault="001B503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5315" w:type="dxa"/>
            <w:gridSpan w:val="3"/>
            <w:vAlign w:val="center"/>
          </w:tcPr>
          <w:p w:rsidR="00F750DB" w:rsidRDefault="00F750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F750DB" w:rsidRDefault="001B503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归属学院</w:t>
            </w:r>
          </w:p>
        </w:tc>
        <w:tc>
          <w:tcPr>
            <w:tcW w:w="5317" w:type="dxa"/>
            <w:gridSpan w:val="2"/>
            <w:vAlign w:val="center"/>
          </w:tcPr>
          <w:p w:rsidR="00F750DB" w:rsidRDefault="00F750DB">
            <w:pPr>
              <w:jc w:val="center"/>
              <w:rPr>
                <w:b/>
                <w:szCs w:val="21"/>
              </w:rPr>
            </w:pPr>
          </w:p>
        </w:tc>
      </w:tr>
      <w:tr w:rsidR="00F750DB" w:rsidTr="00DD671C">
        <w:trPr>
          <w:cantSplit/>
          <w:trHeight w:val="397"/>
          <w:tblHeader/>
        </w:trPr>
        <w:tc>
          <w:tcPr>
            <w:tcW w:w="1772" w:type="dxa"/>
            <w:vMerge w:val="restart"/>
            <w:vAlign w:val="center"/>
          </w:tcPr>
          <w:p w:rsidR="00F750DB" w:rsidRDefault="001B503F">
            <w:pPr>
              <w:jc w:val="center"/>
              <w:rPr>
                <w:b/>
                <w:szCs w:val="21"/>
              </w:rPr>
            </w:pPr>
            <w:bookmarkStart w:id="4" w:name="_Hlk476080019"/>
            <w:r>
              <w:rPr>
                <w:rFonts w:hint="eastAsia"/>
                <w:b/>
                <w:szCs w:val="21"/>
              </w:rPr>
              <w:t>评价指标</w:t>
            </w:r>
          </w:p>
        </w:tc>
        <w:tc>
          <w:tcPr>
            <w:tcW w:w="1880" w:type="dxa"/>
            <w:vMerge w:val="restart"/>
            <w:vAlign w:val="center"/>
          </w:tcPr>
          <w:p w:rsidR="00F750DB" w:rsidRDefault="001B503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观测点</w:t>
            </w:r>
          </w:p>
        </w:tc>
        <w:tc>
          <w:tcPr>
            <w:tcW w:w="567" w:type="dxa"/>
            <w:vMerge w:val="restart"/>
            <w:vAlign w:val="center"/>
          </w:tcPr>
          <w:p w:rsidR="00F750DB" w:rsidRDefault="001B503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分值</w:t>
            </w:r>
          </w:p>
        </w:tc>
        <w:tc>
          <w:tcPr>
            <w:tcW w:w="8789" w:type="dxa"/>
            <w:gridSpan w:val="3"/>
            <w:vAlign w:val="center"/>
          </w:tcPr>
          <w:p w:rsidR="00F750DB" w:rsidRDefault="001B503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等级标准及权重</w:t>
            </w:r>
          </w:p>
        </w:tc>
        <w:tc>
          <w:tcPr>
            <w:tcW w:w="1167" w:type="dxa"/>
            <w:vMerge w:val="restart"/>
            <w:vAlign w:val="center"/>
          </w:tcPr>
          <w:p w:rsidR="00F750DB" w:rsidRDefault="001B503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评价等级</w:t>
            </w:r>
          </w:p>
        </w:tc>
      </w:tr>
      <w:tr w:rsidR="00F750DB" w:rsidTr="00DD671C">
        <w:trPr>
          <w:cantSplit/>
          <w:trHeight w:val="397"/>
          <w:tblHeader/>
        </w:trPr>
        <w:tc>
          <w:tcPr>
            <w:tcW w:w="1772" w:type="dxa"/>
            <w:vMerge/>
            <w:vAlign w:val="center"/>
          </w:tcPr>
          <w:p w:rsidR="00F750DB" w:rsidRDefault="00F750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880" w:type="dxa"/>
            <w:vMerge/>
            <w:vAlign w:val="center"/>
          </w:tcPr>
          <w:p w:rsidR="00F750DB" w:rsidRDefault="00F750DB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750DB" w:rsidRDefault="00F750DB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9" w:type="dxa"/>
            <w:gridSpan w:val="2"/>
            <w:vAlign w:val="center"/>
          </w:tcPr>
          <w:p w:rsidR="00F750DB" w:rsidRDefault="001B503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A</w:t>
            </w:r>
            <w:r>
              <w:rPr>
                <w:rFonts w:hint="eastAsia"/>
                <w:b/>
                <w:szCs w:val="21"/>
              </w:rPr>
              <w:t>（权重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4150" w:type="dxa"/>
            <w:vAlign w:val="center"/>
          </w:tcPr>
          <w:p w:rsidR="00F750DB" w:rsidRDefault="001B503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</w:t>
            </w:r>
            <w:r>
              <w:rPr>
                <w:rFonts w:hint="eastAsia"/>
                <w:b/>
                <w:szCs w:val="21"/>
              </w:rPr>
              <w:t>（权重</w:t>
            </w:r>
            <w:r>
              <w:rPr>
                <w:rFonts w:hint="eastAsia"/>
                <w:b/>
                <w:szCs w:val="21"/>
              </w:rPr>
              <w:t>0.6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67" w:type="dxa"/>
            <w:vMerge/>
            <w:vAlign w:val="center"/>
          </w:tcPr>
          <w:p w:rsidR="00F750DB" w:rsidRDefault="00F750DB">
            <w:pPr>
              <w:jc w:val="center"/>
              <w:rPr>
                <w:b/>
                <w:szCs w:val="21"/>
              </w:rPr>
            </w:pPr>
          </w:p>
        </w:tc>
      </w:tr>
      <w:tr w:rsidR="00F750DB" w:rsidTr="00DD671C">
        <w:trPr>
          <w:cantSplit/>
          <w:trHeight w:val="680"/>
          <w:tblHeader/>
        </w:trPr>
        <w:tc>
          <w:tcPr>
            <w:tcW w:w="1772" w:type="dxa"/>
            <w:vAlign w:val="center"/>
          </w:tcPr>
          <w:p w:rsidR="00F750DB" w:rsidRDefault="001B503F">
            <w:pPr>
              <w:jc w:val="center"/>
              <w:rPr>
                <w:szCs w:val="21"/>
              </w:rPr>
            </w:pPr>
            <w:bookmarkStart w:id="5" w:name="OLE_LINK4"/>
            <w:bookmarkStart w:id="6" w:name="OLE_LINK5"/>
            <w:bookmarkEnd w:id="4"/>
            <w:r>
              <w:rPr>
                <w:rFonts w:hint="eastAsia"/>
                <w:szCs w:val="21"/>
              </w:rPr>
              <w:t>封面及课程首页</w:t>
            </w:r>
          </w:p>
        </w:tc>
        <w:tc>
          <w:tcPr>
            <w:tcW w:w="1880" w:type="dxa"/>
            <w:vAlign w:val="center"/>
          </w:tcPr>
          <w:p w:rsidR="00F750DB" w:rsidRDefault="001B50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完整程度</w:t>
            </w:r>
          </w:p>
        </w:tc>
        <w:tc>
          <w:tcPr>
            <w:tcW w:w="567" w:type="dxa"/>
            <w:vAlign w:val="center"/>
          </w:tcPr>
          <w:p w:rsidR="00F750DB" w:rsidRDefault="001B50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639" w:type="dxa"/>
            <w:gridSpan w:val="2"/>
            <w:vAlign w:val="center"/>
          </w:tcPr>
          <w:p w:rsidR="00F750DB" w:rsidRDefault="001B503F" w:rsidP="00100D7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有“封面”图片和“课程展示”视频；“课程英文名”、“适用专业”、“课程负责人”、“课程资源”信息完整；</w:t>
            </w:r>
            <w:bookmarkStart w:id="7" w:name="OLE_LINK6"/>
            <w:bookmarkStart w:id="8" w:name="OLE_LINK7"/>
            <w:bookmarkStart w:id="9" w:name="OLE_LINK8"/>
            <w:r>
              <w:rPr>
                <w:rFonts w:hint="eastAsia"/>
                <w:szCs w:val="21"/>
              </w:rPr>
              <w:t>对于明显应有“先修课程”和“教学团队”的课程，此</w:t>
            </w:r>
            <w:r w:rsidR="00100D74">
              <w:rPr>
                <w:rFonts w:hint="eastAsia"/>
                <w:szCs w:val="21"/>
              </w:rPr>
              <w:t>两</w:t>
            </w:r>
            <w:r>
              <w:rPr>
                <w:rFonts w:hint="eastAsia"/>
                <w:szCs w:val="21"/>
              </w:rPr>
              <w:t>项信息完整。</w:t>
            </w:r>
            <w:bookmarkEnd w:id="7"/>
            <w:bookmarkEnd w:id="8"/>
            <w:bookmarkEnd w:id="9"/>
          </w:p>
        </w:tc>
        <w:tc>
          <w:tcPr>
            <w:tcW w:w="4150" w:type="dxa"/>
            <w:vAlign w:val="center"/>
          </w:tcPr>
          <w:p w:rsidR="00F750DB" w:rsidRDefault="001B503F" w:rsidP="00CC41E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“封面”图片、“课程展示”视频、“课程英文名”、“适用专业”、“课程负责人”、“课程资源”及</w:t>
            </w:r>
            <w:r w:rsidRPr="007B465B">
              <w:rPr>
                <w:rFonts w:hint="eastAsia"/>
                <w:color w:val="000000" w:themeColor="text1"/>
                <w:szCs w:val="21"/>
              </w:rPr>
              <w:t>应有的“先修课</w:t>
            </w:r>
            <w:r w:rsidR="0015422E">
              <w:rPr>
                <w:rFonts w:hint="eastAsia"/>
                <w:color w:val="000000" w:themeColor="text1"/>
                <w:szCs w:val="21"/>
              </w:rPr>
              <w:t>程”和“教学团队”等项目</w:t>
            </w:r>
            <w:r w:rsidRPr="007B465B">
              <w:rPr>
                <w:rFonts w:hint="eastAsia"/>
                <w:color w:val="000000" w:themeColor="text1"/>
                <w:szCs w:val="21"/>
              </w:rPr>
              <w:t>有</w:t>
            </w:r>
            <w:r w:rsidRPr="007B465B">
              <w:rPr>
                <w:rFonts w:hint="eastAsia"/>
                <w:color w:val="000000" w:themeColor="text1"/>
                <w:szCs w:val="21"/>
              </w:rPr>
              <w:t>2</w:t>
            </w:r>
            <w:r w:rsidRPr="007B465B">
              <w:rPr>
                <w:rFonts w:hint="eastAsia"/>
                <w:color w:val="000000" w:themeColor="text1"/>
                <w:szCs w:val="21"/>
              </w:rPr>
              <w:t>项</w:t>
            </w:r>
            <w:r w:rsidR="00116366">
              <w:rPr>
                <w:rFonts w:hint="eastAsia"/>
                <w:color w:val="000000" w:themeColor="text1"/>
                <w:szCs w:val="21"/>
              </w:rPr>
              <w:t>信息</w:t>
            </w:r>
            <w:r w:rsidRPr="007B465B">
              <w:rPr>
                <w:rFonts w:hint="eastAsia"/>
                <w:color w:val="000000" w:themeColor="text1"/>
                <w:szCs w:val="21"/>
              </w:rPr>
              <w:t>缺失。</w:t>
            </w:r>
          </w:p>
        </w:tc>
        <w:tc>
          <w:tcPr>
            <w:tcW w:w="1167" w:type="dxa"/>
            <w:vAlign w:val="center"/>
          </w:tcPr>
          <w:p w:rsidR="00F750DB" w:rsidRDefault="00F750DB">
            <w:pPr>
              <w:jc w:val="center"/>
              <w:rPr>
                <w:szCs w:val="21"/>
              </w:rPr>
            </w:pPr>
          </w:p>
        </w:tc>
      </w:tr>
      <w:bookmarkEnd w:id="5"/>
      <w:bookmarkEnd w:id="6"/>
      <w:tr w:rsidR="00F750DB" w:rsidTr="00DD671C">
        <w:trPr>
          <w:cantSplit/>
          <w:trHeight w:val="263"/>
          <w:tblHeader/>
        </w:trPr>
        <w:tc>
          <w:tcPr>
            <w:tcW w:w="1772" w:type="dxa"/>
            <w:vMerge w:val="restart"/>
            <w:vAlign w:val="center"/>
          </w:tcPr>
          <w:p w:rsidR="00F750DB" w:rsidRDefault="001B50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课程简介</w:t>
            </w:r>
          </w:p>
        </w:tc>
        <w:tc>
          <w:tcPr>
            <w:tcW w:w="1880" w:type="dxa"/>
            <w:vAlign w:val="center"/>
          </w:tcPr>
          <w:p w:rsidR="00F750DB" w:rsidRDefault="001B50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完整和美观程度</w:t>
            </w:r>
          </w:p>
        </w:tc>
        <w:tc>
          <w:tcPr>
            <w:tcW w:w="567" w:type="dxa"/>
            <w:vAlign w:val="center"/>
          </w:tcPr>
          <w:p w:rsidR="00F750DB" w:rsidRDefault="001B50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639" w:type="dxa"/>
            <w:gridSpan w:val="2"/>
            <w:vAlign w:val="center"/>
          </w:tcPr>
          <w:p w:rsidR="00F750DB" w:rsidRDefault="001B503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中文和英文简介均有；中文简介的篇幅在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字</w:t>
            </w:r>
            <w:r>
              <w:rPr>
                <w:rFonts w:hint="eastAsia"/>
                <w:szCs w:val="21"/>
              </w:rPr>
              <w:t>-500</w:t>
            </w:r>
            <w:r>
              <w:rPr>
                <w:rFonts w:hint="eastAsia"/>
                <w:szCs w:val="21"/>
              </w:rPr>
              <w:t>字之间；英文篇幅适宜；字体合适、行间距统一；页面呈现工整、美观。</w:t>
            </w:r>
          </w:p>
        </w:tc>
        <w:tc>
          <w:tcPr>
            <w:tcW w:w="4150" w:type="dxa"/>
            <w:vAlign w:val="center"/>
          </w:tcPr>
          <w:p w:rsidR="00F750DB" w:rsidRDefault="001B503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中文和英文简介均有。</w:t>
            </w:r>
          </w:p>
        </w:tc>
        <w:tc>
          <w:tcPr>
            <w:tcW w:w="1167" w:type="dxa"/>
            <w:vAlign w:val="center"/>
          </w:tcPr>
          <w:p w:rsidR="00F750DB" w:rsidRDefault="00F750DB">
            <w:pPr>
              <w:jc w:val="center"/>
              <w:rPr>
                <w:szCs w:val="21"/>
              </w:rPr>
            </w:pPr>
          </w:p>
        </w:tc>
      </w:tr>
      <w:tr w:rsidR="00F750DB" w:rsidTr="00DD671C">
        <w:trPr>
          <w:cantSplit/>
          <w:trHeight w:val="680"/>
          <w:tblHeader/>
        </w:trPr>
        <w:tc>
          <w:tcPr>
            <w:tcW w:w="1772" w:type="dxa"/>
            <w:vMerge/>
            <w:vAlign w:val="center"/>
          </w:tcPr>
          <w:p w:rsidR="00F750DB" w:rsidRDefault="00F750DB">
            <w:pPr>
              <w:jc w:val="center"/>
              <w:rPr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F750DB" w:rsidRDefault="001B50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内容准确程度</w:t>
            </w:r>
          </w:p>
        </w:tc>
        <w:tc>
          <w:tcPr>
            <w:tcW w:w="567" w:type="dxa"/>
            <w:vAlign w:val="center"/>
          </w:tcPr>
          <w:p w:rsidR="00F750DB" w:rsidRDefault="001B50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639" w:type="dxa"/>
            <w:gridSpan w:val="2"/>
            <w:vAlign w:val="center"/>
          </w:tcPr>
          <w:p w:rsidR="00F750DB" w:rsidRDefault="001B503F">
            <w:pPr>
              <w:rPr>
                <w:szCs w:val="21"/>
              </w:rPr>
            </w:pPr>
            <w:r>
              <w:rPr>
                <w:rFonts w:hint="eastAsia"/>
                <w:bCs/>
              </w:rPr>
              <w:t>包括</w:t>
            </w:r>
            <w:r>
              <w:rPr>
                <w:rFonts w:hint="eastAsia"/>
              </w:rPr>
              <w:t>课程定义、课程总体内容、课程目的及意义等基本内容；课程总体内容概括</w:t>
            </w:r>
            <w:proofErr w:type="gramStart"/>
            <w:r>
              <w:rPr>
                <w:rFonts w:hint="eastAsia"/>
              </w:rPr>
              <w:t>凝炼</w:t>
            </w:r>
            <w:proofErr w:type="gramEnd"/>
            <w:r>
              <w:rPr>
                <w:rFonts w:hint="eastAsia"/>
              </w:rPr>
              <w:t>；课程目的及意义表述清晰、明确；中文和英文内容主旨相同、重点一致；</w:t>
            </w:r>
            <w:r>
              <w:rPr>
                <w:rFonts w:hint="eastAsia"/>
                <w:szCs w:val="21"/>
              </w:rPr>
              <w:t>文字流畅、语法通顺。</w:t>
            </w:r>
          </w:p>
        </w:tc>
        <w:tc>
          <w:tcPr>
            <w:tcW w:w="4150" w:type="dxa"/>
            <w:vAlign w:val="center"/>
          </w:tcPr>
          <w:p w:rsidR="00F750DB" w:rsidRDefault="001B503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课程定义、课程总体内容、课程目的及意义等内容</w:t>
            </w:r>
            <w:r w:rsidR="006E5135">
              <w:rPr>
                <w:rFonts w:hint="eastAsia"/>
                <w:szCs w:val="21"/>
              </w:rPr>
              <w:t>基本</w:t>
            </w:r>
            <w:r>
              <w:rPr>
                <w:rFonts w:hint="eastAsia"/>
                <w:szCs w:val="21"/>
              </w:rPr>
              <w:t>完整，表述无科学性错误；中文和英文内容基本一致。</w:t>
            </w:r>
          </w:p>
        </w:tc>
        <w:tc>
          <w:tcPr>
            <w:tcW w:w="1167" w:type="dxa"/>
            <w:vAlign w:val="center"/>
          </w:tcPr>
          <w:p w:rsidR="00F750DB" w:rsidRDefault="00F750DB">
            <w:pPr>
              <w:jc w:val="center"/>
              <w:rPr>
                <w:szCs w:val="21"/>
              </w:rPr>
            </w:pPr>
          </w:p>
        </w:tc>
      </w:tr>
      <w:tr w:rsidR="00F750DB" w:rsidTr="00DD671C">
        <w:trPr>
          <w:cantSplit/>
          <w:trHeight w:val="680"/>
          <w:tblHeader/>
        </w:trPr>
        <w:tc>
          <w:tcPr>
            <w:tcW w:w="1772" w:type="dxa"/>
            <w:vMerge w:val="restart"/>
            <w:vAlign w:val="center"/>
          </w:tcPr>
          <w:p w:rsidR="00F750DB" w:rsidRDefault="001B50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课程教学要求</w:t>
            </w:r>
          </w:p>
        </w:tc>
        <w:tc>
          <w:tcPr>
            <w:tcW w:w="1880" w:type="dxa"/>
            <w:vAlign w:val="center"/>
          </w:tcPr>
          <w:p w:rsidR="00F750DB" w:rsidRDefault="001B50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完整和美观程度</w:t>
            </w:r>
          </w:p>
        </w:tc>
        <w:tc>
          <w:tcPr>
            <w:tcW w:w="567" w:type="dxa"/>
            <w:vAlign w:val="center"/>
          </w:tcPr>
          <w:p w:rsidR="00F750DB" w:rsidRDefault="001B50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639" w:type="dxa"/>
            <w:gridSpan w:val="2"/>
            <w:vAlign w:val="center"/>
          </w:tcPr>
          <w:p w:rsidR="00F750DB" w:rsidRDefault="001B50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按要求采用“</w:t>
            </w:r>
            <w:r>
              <w:rPr>
                <w:rFonts w:ascii="宋体" w:hAnsi="宋体" w:cs="宋体" w:hint="eastAsia"/>
                <w:szCs w:val="21"/>
              </w:rPr>
              <w:t>专业毕业要求</w:t>
            </w:r>
            <w:r>
              <w:rPr>
                <w:rFonts w:hint="eastAsia"/>
                <w:szCs w:val="21"/>
              </w:rPr>
              <w:t>”</w:t>
            </w:r>
            <w:r>
              <w:rPr>
                <w:rFonts w:ascii="宋体" w:hAnsi="宋体" w:cs="宋体" w:hint="eastAsia"/>
                <w:szCs w:val="21"/>
              </w:rPr>
              <w:t>与“课程教学要求”的关联度表格形式呈现；关联项的 “课程教学要求”描述详细，“关联程度”用“H”“M</w:t>
            </w:r>
            <w:r>
              <w:rPr>
                <w:rFonts w:ascii="宋体" w:hAnsi="宋体" w:cs="宋体"/>
                <w:szCs w:val="21"/>
              </w:rPr>
              <w:t>”</w:t>
            </w:r>
            <w:r>
              <w:rPr>
                <w:rFonts w:ascii="宋体" w:hAnsi="宋体" w:cs="宋体" w:hint="eastAsia"/>
                <w:szCs w:val="21"/>
              </w:rPr>
              <w:t>或“L</w:t>
            </w:r>
            <w:r>
              <w:rPr>
                <w:rFonts w:ascii="宋体" w:hAnsi="宋体" w:cs="宋体"/>
                <w:szCs w:val="21"/>
              </w:rPr>
              <w:t>”</w:t>
            </w:r>
            <w:r>
              <w:rPr>
                <w:rFonts w:ascii="宋体" w:hAnsi="宋体" w:cs="宋体" w:hint="eastAsia"/>
                <w:szCs w:val="21"/>
              </w:rPr>
              <w:t>明确表示；</w:t>
            </w:r>
            <w:bookmarkStart w:id="10" w:name="OLE_LINK18"/>
            <w:bookmarkStart w:id="11" w:name="OLE_LINK17"/>
            <w:r>
              <w:rPr>
                <w:rFonts w:ascii="宋体" w:hAnsi="宋体" w:cs="宋体" w:hint="eastAsia"/>
                <w:szCs w:val="21"/>
              </w:rPr>
              <w:t>边框显示、格式美观。</w:t>
            </w:r>
            <w:bookmarkEnd w:id="10"/>
            <w:bookmarkEnd w:id="11"/>
          </w:p>
        </w:tc>
        <w:tc>
          <w:tcPr>
            <w:tcW w:w="4150" w:type="dxa"/>
            <w:vAlign w:val="center"/>
          </w:tcPr>
          <w:p w:rsidR="00F750DB" w:rsidRDefault="001B503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“</w:t>
            </w:r>
            <w:r>
              <w:rPr>
                <w:rFonts w:ascii="宋体" w:hAnsi="宋体" w:cs="宋体" w:hint="eastAsia"/>
                <w:szCs w:val="21"/>
              </w:rPr>
              <w:t>专业毕业要求</w:t>
            </w:r>
            <w:r>
              <w:rPr>
                <w:rFonts w:hint="eastAsia"/>
                <w:szCs w:val="21"/>
              </w:rPr>
              <w:t>”</w:t>
            </w:r>
            <w:r>
              <w:rPr>
                <w:rFonts w:ascii="宋体" w:hAnsi="宋体" w:cs="宋体" w:hint="eastAsia"/>
                <w:szCs w:val="21"/>
              </w:rPr>
              <w:t>与“课程教学要求”</w:t>
            </w:r>
            <w:r>
              <w:rPr>
                <w:rFonts w:hint="eastAsia"/>
                <w:szCs w:val="21"/>
              </w:rPr>
              <w:t>采用</w:t>
            </w:r>
            <w:r>
              <w:rPr>
                <w:rFonts w:ascii="宋体" w:hAnsi="宋体" w:cs="宋体" w:hint="eastAsia"/>
                <w:szCs w:val="21"/>
              </w:rPr>
              <w:t>关联度表格形式呈现，被列举</w:t>
            </w:r>
            <w:r w:rsidR="00B549AD">
              <w:rPr>
                <w:rFonts w:ascii="宋体" w:hAnsi="宋体" w:cs="宋体" w:hint="eastAsia"/>
                <w:szCs w:val="21"/>
              </w:rPr>
              <w:t>的</w:t>
            </w:r>
            <w:r>
              <w:rPr>
                <w:rFonts w:ascii="宋体" w:hAnsi="宋体" w:cs="宋体" w:hint="eastAsia"/>
                <w:szCs w:val="21"/>
              </w:rPr>
              <w:t>关联项的“课程教学要求”或“关联程</w:t>
            </w:r>
            <w:r w:rsidRPr="00B549AD">
              <w:rPr>
                <w:rFonts w:ascii="宋体" w:hAnsi="宋体" w:cs="宋体" w:hint="eastAsia"/>
                <w:color w:val="000000" w:themeColor="text1"/>
                <w:szCs w:val="21"/>
              </w:rPr>
              <w:t>度”部分缺失。</w:t>
            </w:r>
          </w:p>
        </w:tc>
        <w:tc>
          <w:tcPr>
            <w:tcW w:w="1167" w:type="dxa"/>
            <w:vAlign w:val="center"/>
          </w:tcPr>
          <w:p w:rsidR="00F750DB" w:rsidRDefault="00F750DB">
            <w:pPr>
              <w:jc w:val="center"/>
              <w:rPr>
                <w:szCs w:val="21"/>
              </w:rPr>
            </w:pPr>
          </w:p>
        </w:tc>
      </w:tr>
      <w:tr w:rsidR="00F750DB" w:rsidTr="00DD671C">
        <w:trPr>
          <w:cantSplit/>
          <w:trHeight w:val="90"/>
          <w:tblHeader/>
        </w:trPr>
        <w:tc>
          <w:tcPr>
            <w:tcW w:w="1772" w:type="dxa"/>
            <w:vMerge/>
            <w:vAlign w:val="center"/>
          </w:tcPr>
          <w:p w:rsidR="00F750DB" w:rsidRDefault="00F750DB">
            <w:pPr>
              <w:jc w:val="center"/>
              <w:rPr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F750DB" w:rsidRPr="00B513DF" w:rsidRDefault="001B503F">
            <w:pPr>
              <w:jc w:val="center"/>
              <w:rPr>
                <w:b/>
                <w:szCs w:val="21"/>
              </w:rPr>
            </w:pPr>
            <w:r w:rsidRPr="00B513DF">
              <w:rPr>
                <w:rFonts w:hint="eastAsia"/>
                <w:b/>
                <w:szCs w:val="21"/>
              </w:rPr>
              <w:t>专业毕业要求</w:t>
            </w:r>
          </w:p>
        </w:tc>
        <w:tc>
          <w:tcPr>
            <w:tcW w:w="567" w:type="dxa"/>
            <w:vAlign w:val="center"/>
          </w:tcPr>
          <w:p w:rsidR="00F750DB" w:rsidRDefault="001B50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639" w:type="dxa"/>
            <w:gridSpan w:val="2"/>
            <w:vAlign w:val="center"/>
          </w:tcPr>
          <w:p w:rsidR="00F750DB" w:rsidRPr="00B549AD" w:rsidRDefault="001B503F" w:rsidP="00E156E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理工类专业</w:t>
            </w:r>
            <w:r>
              <w:rPr>
                <w:rFonts w:ascii="宋体" w:hAnsi="宋体" w:cs="宋体" w:hint="eastAsia"/>
                <w:szCs w:val="21"/>
              </w:rPr>
              <w:t>的毕业要求</w:t>
            </w:r>
            <w:r>
              <w:rPr>
                <w:rFonts w:ascii="宋体" w:hAnsi="宋体" w:cs="宋体" w:hint="eastAsia"/>
                <w:bCs/>
                <w:szCs w:val="21"/>
              </w:rPr>
              <w:t>完全覆盖</w:t>
            </w:r>
            <w:r>
              <w:rPr>
                <w:rFonts w:ascii="宋体" w:hAnsi="宋体" w:cs="宋体" w:hint="eastAsia"/>
                <w:szCs w:val="21"/>
              </w:rPr>
              <w:t>《工程教育认证标准》（2015版）中的12项毕业要求；</w:t>
            </w:r>
            <w:r>
              <w:rPr>
                <w:rFonts w:ascii="宋体" w:hAnsi="宋体" w:cs="宋体" w:hint="eastAsia"/>
                <w:b/>
                <w:szCs w:val="21"/>
              </w:rPr>
              <w:t>人文社科类及艺术类专业</w:t>
            </w:r>
            <w:r>
              <w:rPr>
                <w:rFonts w:ascii="宋体" w:hAnsi="宋体" w:cs="宋体" w:hint="eastAsia"/>
                <w:bCs/>
                <w:szCs w:val="21"/>
              </w:rPr>
              <w:t>参照</w:t>
            </w:r>
            <w:r>
              <w:rPr>
                <w:rFonts w:ascii="宋体" w:hAnsi="宋体" w:cs="宋体" w:hint="eastAsia"/>
                <w:szCs w:val="21"/>
              </w:rPr>
              <w:t>工程教育认证标准，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结合专业实际，以</w:t>
            </w:r>
            <w:r>
              <w:rPr>
                <w:rFonts w:ascii="宋体" w:hAnsi="宋体" w:cs="宋体" w:hint="eastAsia"/>
                <w:szCs w:val="21"/>
              </w:rPr>
              <w:t>毕业生应获得的知识、能力和素质为基础，</w:t>
            </w:r>
            <w:r>
              <w:rPr>
                <w:rFonts w:ascii="宋体" w:hAnsi="宋体" w:cs="宋体" w:hint="eastAsia"/>
                <w:bCs/>
                <w:szCs w:val="21"/>
              </w:rPr>
              <w:t>提出明确、契合</w:t>
            </w:r>
            <w:r w:rsidR="008047AF">
              <w:rPr>
                <w:rFonts w:ascii="宋体" w:hAnsi="宋体" w:cs="宋体" w:hint="eastAsia"/>
                <w:bCs/>
                <w:szCs w:val="21"/>
              </w:rPr>
              <w:t>、公开</w:t>
            </w:r>
            <w:r>
              <w:rPr>
                <w:rFonts w:ascii="宋体" w:hAnsi="宋体" w:cs="宋体" w:hint="eastAsia"/>
                <w:bCs/>
                <w:szCs w:val="21"/>
              </w:rPr>
              <w:t>的12项</w:t>
            </w:r>
            <w:r>
              <w:rPr>
                <w:rFonts w:ascii="宋体" w:hAnsi="宋体" w:cs="宋体" w:hint="eastAsia"/>
                <w:szCs w:val="21"/>
              </w:rPr>
              <w:t>毕业要求。对于“适用专业”相同的课程，</w:t>
            </w:r>
            <w:r w:rsidR="003848B2">
              <w:rPr>
                <w:rFonts w:ascii="宋体" w:hAnsi="宋体" w:cs="宋体" w:hint="eastAsia"/>
                <w:szCs w:val="21"/>
              </w:rPr>
              <w:t>每个课程</w:t>
            </w:r>
            <w:r w:rsidR="00F54E45">
              <w:rPr>
                <w:rFonts w:ascii="宋体" w:hAnsi="宋体" w:cs="宋体" w:hint="eastAsia"/>
                <w:szCs w:val="21"/>
              </w:rPr>
              <w:t>此处</w:t>
            </w:r>
            <w:r>
              <w:rPr>
                <w:rFonts w:ascii="宋体" w:hAnsi="宋体" w:cs="宋体" w:hint="eastAsia"/>
                <w:szCs w:val="21"/>
              </w:rPr>
              <w:t>专业毕业要求应一致。</w:t>
            </w:r>
            <w:r w:rsidR="00E156EA">
              <w:rPr>
                <w:rFonts w:ascii="宋体" w:hAnsi="宋体" w:cs="宋体" w:hint="eastAsia"/>
                <w:bCs/>
                <w:szCs w:val="21"/>
              </w:rPr>
              <w:t>若课程</w:t>
            </w:r>
            <w:r>
              <w:rPr>
                <w:rFonts w:ascii="宋体" w:hAnsi="宋体" w:cs="宋体" w:hint="eastAsia"/>
                <w:bCs/>
                <w:szCs w:val="21"/>
              </w:rPr>
              <w:t>适用</w:t>
            </w:r>
            <w:r w:rsidR="003848B2">
              <w:rPr>
                <w:rFonts w:ascii="宋体" w:hAnsi="宋体" w:cs="宋体" w:hint="eastAsia"/>
                <w:bCs/>
                <w:szCs w:val="21"/>
              </w:rPr>
              <w:t>于</w:t>
            </w:r>
            <w:r>
              <w:rPr>
                <w:rFonts w:ascii="宋体" w:hAnsi="宋体" w:cs="宋体" w:hint="eastAsia"/>
                <w:bCs/>
                <w:szCs w:val="21"/>
              </w:rPr>
              <w:t>多个专业，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与其中</w:t>
            </w:r>
            <w:r w:rsidRPr="00B549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某一个专业</w:t>
            </w:r>
            <w:r w:rsidR="003848B2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的</w:t>
            </w:r>
            <w:r w:rsidRPr="00B549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毕业要求一致。</w:t>
            </w:r>
          </w:p>
        </w:tc>
        <w:tc>
          <w:tcPr>
            <w:tcW w:w="4150" w:type="dxa"/>
            <w:vAlign w:val="center"/>
          </w:tcPr>
          <w:p w:rsidR="00F750DB" w:rsidRDefault="001B503F">
            <w:pPr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理工类专业</w:t>
            </w:r>
            <w:r>
              <w:rPr>
                <w:rFonts w:ascii="宋体" w:hAnsi="宋体" w:cs="宋体" w:hint="eastAsia"/>
                <w:szCs w:val="21"/>
              </w:rPr>
              <w:t>的毕业要求至少完全覆盖《工程教育认证标准》（2015版）中的12项毕业要求；</w:t>
            </w:r>
            <w:r>
              <w:rPr>
                <w:rFonts w:ascii="宋体" w:hAnsi="宋体" w:cs="宋体" w:hint="eastAsia"/>
                <w:b/>
                <w:szCs w:val="21"/>
              </w:rPr>
              <w:t>人文社科类及艺术类专业</w:t>
            </w:r>
            <w:r>
              <w:rPr>
                <w:rFonts w:ascii="宋体" w:hAnsi="宋体" w:cs="宋体" w:hint="eastAsia"/>
                <w:szCs w:val="21"/>
              </w:rPr>
              <w:t>能提出</w:t>
            </w:r>
            <w:r w:rsidR="008047AF">
              <w:rPr>
                <w:rFonts w:ascii="宋体" w:hAnsi="宋体" w:cs="宋体" w:hint="eastAsia"/>
                <w:bCs/>
                <w:szCs w:val="21"/>
              </w:rPr>
              <w:t>明确、公开</w:t>
            </w:r>
            <w:r>
              <w:rPr>
                <w:rFonts w:ascii="宋体" w:hAnsi="宋体" w:cs="宋体" w:hint="eastAsia"/>
                <w:bCs/>
                <w:szCs w:val="21"/>
              </w:rPr>
              <w:t>的12项或若干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项</w:t>
            </w:r>
            <w:r>
              <w:rPr>
                <w:rFonts w:ascii="宋体" w:hAnsi="宋体" w:cs="宋体" w:hint="eastAsia"/>
                <w:szCs w:val="21"/>
              </w:rPr>
              <w:t>毕业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要求。</w:t>
            </w:r>
          </w:p>
        </w:tc>
        <w:tc>
          <w:tcPr>
            <w:tcW w:w="1167" w:type="dxa"/>
            <w:vAlign w:val="center"/>
          </w:tcPr>
          <w:p w:rsidR="00F750DB" w:rsidRDefault="00F750DB">
            <w:pPr>
              <w:jc w:val="center"/>
              <w:rPr>
                <w:szCs w:val="21"/>
              </w:rPr>
            </w:pPr>
          </w:p>
        </w:tc>
      </w:tr>
      <w:tr w:rsidR="00F750DB" w:rsidTr="00DD671C">
        <w:trPr>
          <w:cantSplit/>
          <w:trHeight w:val="680"/>
          <w:tblHeader/>
        </w:trPr>
        <w:tc>
          <w:tcPr>
            <w:tcW w:w="1772" w:type="dxa"/>
            <w:vMerge/>
            <w:vAlign w:val="center"/>
          </w:tcPr>
          <w:p w:rsidR="00F750DB" w:rsidRDefault="00F750DB">
            <w:pPr>
              <w:jc w:val="center"/>
              <w:rPr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F750DB" w:rsidRPr="00B513DF" w:rsidRDefault="001B503F">
            <w:pPr>
              <w:jc w:val="center"/>
              <w:rPr>
                <w:b/>
                <w:szCs w:val="21"/>
              </w:rPr>
            </w:pPr>
            <w:r w:rsidRPr="00B513DF">
              <w:rPr>
                <w:rFonts w:hint="eastAsia"/>
                <w:b/>
                <w:szCs w:val="21"/>
              </w:rPr>
              <w:t>“课程教学要求”</w:t>
            </w:r>
            <w:r w:rsidRPr="007401D7">
              <w:rPr>
                <w:rFonts w:hint="eastAsia"/>
                <w:szCs w:val="21"/>
              </w:rPr>
              <w:t>与</w:t>
            </w:r>
            <w:r w:rsidRPr="00B513DF">
              <w:rPr>
                <w:rFonts w:hint="eastAsia"/>
                <w:b/>
                <w:szCs w:val="21"/>
              </w:rPr>
              <w:t>“关联程度”</w:t>
            </w:r>
          </w:p>
        </w:tc>
        <w:tc>
          <w:tcPr>
            <w:tcW w:w="567" w:type="dxa"/>
            <w:vAlign w:val="center"/>
          </w:tcPr>
          <w:p w:rsidR="00F750DB" w:rsidRDefault="001B50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639" w:type="dxa"/>
            <w:gridSpan w:val="2"/>
            <w:vAlign w:val="center"/>
          </w:tcPr>
          <w:p w:rsidR="00F750DB" w:rsidRDefault="001B503F">
            <w:pPr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关联项的“课程教学</w:t>
            </w:r>
            <w:r w:rsidR="00B513DF">
              <w:rPr>
                <w:rFonts w:ascii="宋体" w:hAnsi="宋体" w:cs="宋体" w:hint="eastAsia"/>
                <w:szCs w:val="21"/>
              </w:rPr>
              <w:t>要求</w:t>
            </w:r>
            <w:r>
              <w:rPr>
                <w:rFonts w:ascii="宋体" w:hAnsi="宋体" w:cs="宋体" w:hint="eastAsia"/>
                <w:szCs w:val="21"/>
              </w:rPr>
              <w:t>”紧密结合课程特色和知识点的针对性描述；关联项数量适中，重点突出、鲜明；“关联程度”明确、合理。</w:t>
            </w:r>
          </w:p>
        </w:tc>
        <w:tc>
          <w:tcPr>
            <w:tcW w:w="4150" w:type="dxa"/>
            <w:vAlign w:val="center"/>
          </w:tcPr>
          <w:p w:rsidR="00F750DB" w:rsidRDefault="001B503F">
            <w:pPr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对关联项“课程教学内容”的描述基本体</w:t>
            </w:r>
            <w:r w:rsidR="006E5135">
              <w:rPr>
                <w:rFonts w:ascii="宋体" w:hAnsi="宋体" w:cs="宋体" w:hint="eastAsia"/>
                <w:szCs w:val="21"/>
              </w:rPr>
              <w:t>现课程特点和知识点；</w:t>
            </w:r>
            <w:r>
              <w:rPr>
                <w:rFonts w:ascii="宋体" w:hAnsi="宋体" w:cs="宋体" w:hint="eastAsia"/>
                <w:szCs w:val="21"/>
              </w:rPr>
              <w:t>“关联程度”基本合理。</w:t>
            </w:r>
          </w:p>
        </w:tc>
        <w:tc>
          <w:tcPr>
            <w:tcW w:w="1167" w:type="dxa"/>
            <w:vAlign w:val="center"/>
          </w:tcPr>
          <w:p w:rsidR="00F750DB" w:rsidRDefault="00F750DB">
            <w:pPr>
              <w:jc w:val="center"/>
              <w:rPr>
                <w:szCs w:val="21"/>
              </w:rPr>
            </w:pPr>
          </w:p>
        </w:tc>
      </w:tr>
      <w:tr w:rsidR="00DD671C" w:rsidTr="002E6BC5">
        <w:trPr>
          <w:cantSplit/>
          <w:trHeight w:val="397"/>
          <w:tblHeader/>
        </w:trPr>
        <w:tc>
          <w:tcPr>
            <w:tcW w:w="1772" w:type="dxa"/>
            <w:vMerge w:val="restart"/>
            <w:vAlign w:val="center"/>
          </w:tcPr>
          <w:p w:rsidR="00DD671C" w:rsidRDefault="00DD671C" w:rsidP="002E6B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评价指标</w:t>
            </w:r>
          </w:p>
        </w:tc>
        <w:tc>
          <w:tcPr>
            <w:tcW w:w="1880" w:type="dxa"/>
            <w:vMerge w:val="restart"/>
            <w:vAlign w:val="center"/>
          </w:tcPr>
          <w:p w:rsidR="00DD671C" w:rsidRDefault="00DD671C" w:rsidP="002E6B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观测点</w:t>
            </w:r>
          </w:p>
        </w:tc>
        <w:tc>
          <w:tcPr>
            <w:tcW w:w="567" w:type="dxa"/>
            <w:vMerge w:val="restart"/>
            <w:vAlign w:val="center"/>
          </w:tcPr>
          <w:p w:rsidR="00DD671C" w:rsidRDefault="00DD671C" w:rsidP="002E6B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分值</w:t>
            </w:r>
          </w:p>
        </w:tc>
        <w:tc>
          <w:tcPr>
            <w:tcW w:w="8789" w:type="dxa"/>
            <w:gridSpan w:val="3"/>
            <w:vAlign w:val="center"/>
          </w:tcPr>
          <w:p w:rsidR="00DD671C" w:rsidRDefault="00DD671C" w:rsidP="002E6B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等级标准及权重</w:t>
            </w:r>
          </w:p>
        </w:tc>
        <w:tc>
          <w:tcPr>
            <w:tcW w:w="1167" w:type="dxa"/>
            <w:vMerge w:val="restart"/>
            <w:vAlign w:val="center"/>
          </w:tcPr>
          <w:p w:rsidR="00DD671C" w:rsidRDefault="00DD671C" w:rsidP="002E6B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评价等级</w:t>
            </w:r>
          </w:p>
        </w:tc>
      </w:tr>
      <w:tr w:rsidR="00DD671C" w:rsidTr="002E6BC5">
        <w:trPr>
          <w:cantSplit/>
          <w:trHeight w:val="397"/>
          <w:tblHeader/>
        </w:trPr>
        <w:tc>
          <w:tcPr>
            <w:tcW w:w="1772" w:type="dxa"/>
            <w:vMerge/>
            <w:vAlign w:val="center"/>
          </w:tcPr>
          <w:p w:rsidR="00DD671C" w:rsidRDefault="00DD671C" w:rsidP="002E6BC5">
            <w:pPr>
              <w:jc w:val="center"/>
              <w:rPr>
                <w:b/>
                <w:szCs w:val="21"/>
              </w:rPr>
            </w:pPr>
          </w:p>
        </w:tc>
        <w:tc>
          <w:tcPr>
            <w:tcW w:w="1880" w:type="dxa"/>
            <w:vMerge/>
            <w:vAlign w:val="center"/>
          </w:tcPr>
          <w:p w:rsidR="00DD671C" w:rsidRDefault="00DD671C" w:rsidP="002E6BC5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DD671C" w:rsidRDefault="00DD671C" w:rsidP="002E6BC5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9" w:type="dxa"/>
            <w:gridSpan w:val="2"/>
            <w:vAlign w:val="center"/>
          </w:tcPr>
          <w:p w:rsidR="00DD671C" w:rsidRDefault="00DD671C" w:rsidP="002E6B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A</w:t>
            </w:r>
            <w:r>
              <w:rPr>
                <w:rFonts w:hint="eastAsia"/>
                <w:b/>
                <w:szCs w:val="21"/>
              </w:rPr>
              <w:t>（权重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4150" w:type="dxa"/>
            <w:vAlign w:val="center"/>
          </w:tcPr>
          <w:p w:rsidR="00DD671C" w:rsidRDefault="00DD671C" w:rsidP="002E6B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</w:t>
            </w:r>
            <w:r>
              <w:rPr>
                <w:rFonts w:hint="eastAsia"/>
                <w:b/>
                <w:szCs w:val="21"/>
              </w:rPr>
              <w:t>（权重</w:t>
            </w:r>
            <w:r>
              <w:rPr>
                <w:rFonts w:hint="eastAsia"/>
                <w:b/>
                <w:szCs w:val="21"/>
              </w:rPr>
              <w:t>0.6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67" w:type="dxa"/>
            <w:vMerge/>
            <w:vAlign w:val="center"/>
          </w:tcPr>
          <w:p w:rsidR="00DD671C" w:rsidRDefault="00DD671C" w:rsidP="002E6BC5">
            <w:pPr>
              <w:jc w:val="center"/>
              <w:rPr>
                <w:b/>
                <w:szCs w:val="21"/>
              </w:rPr>
            </w:pPr>
          </w:p>
        </w:tc>
      </w:tr>
      <w:tr w:rsidR="00F750DB" w:rsidTr="00DD671C">
        <w:trPr>
          <w:cantSplit/>
          <w:trHeight w:val="680"/>
          <w:tblHeader/>
        </w:trPr>
        <w:tc>
          <w:tcPr>
            <w:tcW w:w="1772" w:type="dxa"/>
            <w:vMerge w:val="restart"/>
            <w:vAlign w:val="center"/>
          </w:tcPr>
          <w:p w:rsidR="00F750DB" w:rsidRDefault="001B50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课程教学内容</w:t>
            </w:r>
          </w:p>
        </w:tc>
        <w:tc>
          <w:tcPr>
            <w:tcW w:w="1880" w:type="dxa"/>
            <w:vAlign w:val="center"/>
          </w:tcPr>
          <w:p w:rsidR="00F750DB" w:rsidRDefault="001B50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完整和美观程度</w:t>
            </w:r>
          </w:p>
        </w:tc>
        <w:tc>
          <w:tcPr>
            <w:tcW w:w="567" w:type="dxa"/>
            <w:vAlign w:val="center"/>
          </w:tcPr>
          <w:p w:rsidR="00F750DB" w:rsidRDefault="001B50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639" w:type="dxa"/>
            <w:gridSpan w:val="2"/>
            <w:vAlign w:val="center"/>
          </w:tcPr>
          <w:p w:rsidR="00F750DB" w:rsidRDefault="001B503F">
            <w:pPr>
              <w:pStyle w:val="a6"/>
              <w:widowControl/>
              <w:shd w:val="clear" w:color="auto" w:fill="FFFFFF"/>
              <w:tabs>
                <w:tab w:val="left" w:pos="420"/>
              </w:tabs>
              <w:spacing w:line="315" w:lineRule="atLeast"/>
              <w:rPr>
                <w:rFonts w:ascii="宋体" w:hAnsi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根据要求采用表格形式呈现；“章节”、“名称”、 “主要内容”、“重难点关键词”、“学时”、“类型”等栏目信息充分、清晰、完整；“主要内容”和“重难点关键词”以“1、2、3”条目式罗列；边框显示、格式美观。</w:t>
            </w:r>
          </w:p>
        </w:tc>
        <w:tc>
          <w:tcPr>
            <w:tcW w:w="4150" w:type="dxa"/>
            <w:vAlign w:val="center"/>
          </w:tcPr>
          <w:p w:rsidR="00F750DB" w:rsidRDefault="001B503F">
            <w:pPr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采用表格形式呈现；“章节”、“名称”、 “主要内容”、“重难点关键词”、“学时”、“类型”等栏目信息有少量缺失。</w:t>
            </w:r>
          </w:p>
        </w:tc>
        <w:tc>
          <w:tcPr>
            <w:tcW w:w="1167" w:type="dxa"/>
            <w:vAlign w:val="center"/>
          </w:tcPr>
          <w:p w:rsidR="00F750DB" w:rsidRDefault="00F750DB">
            <w:pPr>
              <w:jc w:val="center"/>
              <w:rPr>
                <w:szCs w:val="21"/>
              </w:rPr>
            </w:pPr>
          </w:p>
        </w:tc>
      </w:tr>
      <w:tr w:rsidR="00F750DB" w:rsidTr="00DD671C">
        <w:trPr>
          <w:cantSplit/>
          <w:trHeight w:val="680"/>
          <w:tblHeader/>
        </w:trPr>
        <w:tc>
          <w:tcPr>
            <w:tcW w:w="1772" w:type="dxa"/>
            <w:vMerge/>
          </w:tcPr>
          <w:p w:rsidR="00F750DB" w:rsidRDefault="00F750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F750DB" w:rsidRDefault="001B50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内容准确程度</w:t>
            </w:r>
          </w:p>
        </w:tc>
        <w:tc>
          <w:tcPr>
            <w:tcW w:w="567" w:type="dxa"/>
            <w:vAlign w:val="center"/>
          </w:tcPr>
          <w:p w:rsidR="00F750DB" w:rsidRDefault="001B50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4639" w:type="dxa"/>
            <w:gridSpan w:val="2"/>
            <w:vAlign w:val="center"/>
          </w:tcPr>
          <w:p w:rsidR="00F750DB" w:rsidRDefault="001B503F">
            <w:pPr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根据课程特点安排教学内容，重点突出，脉络清晰；知识点、重难点的设置由浅入深、循序渐进，符合大学生学习特点和认知规律；各章节内容、学时与选取的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理论讲授、实验、上机、讨论、习题、课外线上学习等教学环节“类型”设置科学合理。</w:t>
            </w:r>
          </w:p>
        </w:tc>
        <w:tc>
          <w:tcPr>
            <w:tcW w:w="4150" w:type="dxa"/>
            <w:vAlign w:val="center"/>
          </w:tcPr>
          <w:p w:rsidR="00F750DB" w:rsidRDefault="001B503F">
            <w:pPr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各章节教学内容大体得宜，学时和教学环节“类型”安排基本合理，基本符合大学生的学习特点和认知规律。</w:t>
            </w:r>
          </w:p>
        </w:tc>
        <w:tc>
          <w:tcPr>
            <w:tcW w:w="1167" w:type="dxa"/>
            <w:vAlign w:val="center"/>
          </w:tcPr>
          <w:p w:rsidR="00F750DB" w:rsidRDefault="00F750DB">
            <w:pPr>
              <w:jc w:val="center"/>
              <w:rPr>
                <w:b/>
                <w:szCs w:val="21"/>
              </w:rPr>
            </w:pPr>
          </w:p>
        </w:tc>
      </w:tr>
      <w:tr w:rsidR="00F750DB" w:rsidTr="00DD671C">
        <w:trPr>
          <w:cantSplit/>
          <w:trHeight w:val="680"/>
          <w:tblHeader/>
        </w:trPr>
        <w:tc>
          <w:tcPr>
            <w:tcW w:w="1772" w:type="dxa"/>
            <w:vMerge w:val="restart"/>
            <w:vAlign w:val="center"/>
          </w:tcPr>
          <w:p w:rsidR="00F750DB" w:rsidRDefault="001B50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考核要求及成绩评定</w:t>
            </w:r>
          </w:p>
        </w:tc>
        <w:tc>
          <w:tcPr>
            <w:tcW w:w="1880" w:type="dxa"/>
            <w:vAlign w:val="center"/>
          </w:tcPr>
          <w:p w:rsidR="00F750DB" w:rsidRDefault="001B50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完整和美观程度</w:t>
            </w:r>
          </w:p>
        </w:tc>
        <w:tc>
          <w:tcPr>
            <w:tcW w:w="567" w:type="dxa"/>
            <w:vAlign w:val="center"/>
          </w:tcPr>
          <w:p w:rsidR="00F750DB" w:rsidRDefault="001B50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639" w:type="dxa"/>
            <w:gridSpan w:val="2"/>
            <w:vAlign w:val="center"/>
          </w:tcPr>
          <w:p w:rsidR="00F750DB" w:rsidRDefault="001B503F">
            <w:pPr>
              <w:tabs>
                <w:tab w:val="left" w:pos="420"/>
              </w:tabs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根据要求采用表格形式呈现；“成绩类别</w:t>
            </w:r>
            <w:r>
              <w:rPr>
                <w:rFonts w:ascii="宋体" w:hAnsi="宋体" w:cs="宋体"/>
                <w:szCs w:val="21"/>
              </w:rPr>
              <w:t>”</w:t>
            </w:r>
            <w:r>
              <w:rPr>
                <w:rFonts w:ascii="宋体" w:hAnsi="宋体" w:cs="宋体" w:hint="eastAsia"/>
                <w:szCs w:val="21"/>
              </w:rPr>
              <w:t>、“考核方式”、“考核要求”、“权重”、“备注”等栏目信息充分、清晰且完整；边框显示、格式美观。</w:t>
            </w:r>
          </w:p>
        </w:tc>
        <w:tc>
          <w:tcPr>
            <w:tcW w:w="4150" w:type="dxa"/>
            <w:vAlign w:val="center"/>
          </w:tcPr>
          <w:p w:rsidR="00F750DB" w:rsidRDefault="001B503F">
            <w:pPr>
              <w:snapToGrid w:val="0"/>
              <w:rPr>
                <w:rFonts w:ascii="仿宋_GB2312" w:eastAsia="仿宋_GB2312" w:hAnsi="宋体"/>
                <w:sz w:val="18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采用表格形式呈现；</w:t>
            </w:r>
            <w:r>
              <w:rPr>
                <w:rFonts w:ascii="宋体" w:hAnsi="宋体" w:cs="宋体" w:hint="eastAsia"/>
                <w:szCs w:val="21"/>
              </w:rPr>
              <w:t>“成绩类别</w:t>
            </w:r>
            <w:r>
              <w:rPr>
                <w:rFonts w:ascii="宋体" w:hAnsi="宋体" w:cs="宋体"/>
                <w:szCs w:val="21"/>
              </w:rPr>
              <w:t>”</w:t>
            </w:r>
            <w:r>
              <w:rPr>
                <w:rFonts w:ascii="宋体" w:hAnsi="宋体" w:cs="宋体" w:hint="eastAsia"/>
                <w:szCs w:val="21"/>
              </w:rPr>
              <w:t>、“考核方式”、“考核要求”、“权重”、“备注”等栏目信息有少量缺失。</w:t>
            </w:r>
          </w:p>
        </w:tc>
        <w:tc>
          <w:tcPr>
            <w:tcW w:w="1167" w:type="dxa"/>
            <w:vAlign w:val="center"/>
          </w:tcPr>
          <w:p w:rsidR="00F750DB" w:rsidRDefault="00F750DB">
            <w:pPr>
              <w:jc w:val="center"/>
              <w:rPr>
                <w:szCs w:val="21"/>
              </w:rPr>
            </w:pPr>
          </w:p>
        </w:tc>
      </w:tr>
      <w:tr w:rsidR="00F750DB" w:rsidTr="00DD671C">
        <w:trPr>
          <w:cantSplit/>
          <w:trHeight w:val="680"/>
          <w:tblHeader/>
        </w:trPr>
        <w:tc>
          <w:tcPr>
            <w:tcW w:w="1772" w:type="dxa"/>
            <w:vMerge/>
          </w:tcPr>
          <w:p w:rsidR="00F750DB" w:rsidRDefault="00F750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F750DB" w:rsidRDefault="001B50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内容合理程度</w:t>
            </w:r>
          </w:p>
        </w:tc>
        <w:tc>
          <w:tcPr>
            <w:tcW w:w="567" w:type="dxa"/>
            <w:vAlign w:val="center"/>
          </w:tcPr>
          <w:p w:rsidR="00F750DB" w:rsidRDefault="001B50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639" w:type="dxa"/>
            <w:gridSpan w:val="2"/>
            <w:vAlign w:val="center"/>
          </w:tcPr>
          <w:p w:rsidR="00F750DB" w:rsidRDefault="001B503F">
            <w:pPr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列出该课程涉及到的全部考核方式，如小论文、分组设计、期末考试、线上作业、平时表现等，权重相加等于1；</w:t>
            </w:r>
            <w:r>
              <w:rPr>
                <w:rFonts w:hint="eastAsia"/>
                <w:szCs w:val="21"/>
              </w:rPr>
              <w:t>考试考核形式合理、精准，符合课程特点，适配教学环节“类型”。</w:t>
            </w:r>
          </w:p>
        </w:tc>
        <w:tc>
          <w:tcPr>
            <w:tcW w:w="4150" w:type="dxa"/>
            <w:vAlign w:val="center"/>
          </w:tcPr>
          <w:p w:rsidR="00F750DB" w:rsidRDefault="001B503F">
            <w:pPr>
              <w:snapToGrid w:val="0"/>
              <w:rPr>
                <w:rFonts w:ascii="仿宋_GB2312" w:eastAsia="仿宋_GB2312" w:hAnsi="宋体"/>
                <w:sz w:val="18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考试考核形式较为合理；可基本反映学生学习效果。</w:t>
            </w:r>
          </w:p>
        </w:tc>
        <w:tc>
          <w:tcPr>
            <w:tcW w:w="1167" w:type="dxa"/>
            <w:vAlign w:val="center"/>
          </w:tcPr>
          <w:p w:rsidR="00F750DB" w:rsidRDefault="00F750DB">
            <w:pPr>
              <w:jc w:val="center"/>
              <w:rPr>
                <w:b/>
                <w:szCs w:val="21"/>
              </w:rPr>
            </w:pPr>
          </w:p>
        </w:tc>
      </w:tr>
      <w:tr w:rsidR="00100D74" w:rsidTr="00CB6228">
        <w:trPr>
          <w:cantSplit/>
          <w:trHeight w:val="1872"/>
          <w:tblHeader/>
        </w:trPr>
        <w:tc>
          <w:tcPr>
            <w:tcW w:w="1772" w:type="dxa"/>
            <w:vAlign w:val="center"/>
          </w:tcPr>
          <w:p w:rsidR="00100D74" w:rsidRDefault="00100D7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学生学习建议</w:t>
            </w:r>
          </w:p>
        </w:tc>
        <w:tc>
          <w:tcPr>
            <w:tcW w:w="1880" w:type="dxa"/>
            <w:vAlign w:val="center"/>
          </w:tcPr>
          <w:p w:rsidR="00100D74" w:rsidRDefault="00100D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完整、美观程度</w:t>
            </w:r>
          </w:p>
          <w:p w:rsidR="00100D74" w:rsidRDefault="00100D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和内容合理程度</w:t>
            </w:r>
          </w:p>
        </w:tc>
        <w:tc>
          <w:tcPr>
            <w:tcW w:w="567" w:type="dxa"/>
            <w:vAlign w:val="center"/>
          </w:tcPr>
          <w:p w:rsidR="00100D74" w:rsidRDefault="00100D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639" w:type="dxa"/>
            <w:gridSpan w:val="2"/>
            <w:vAlign w:val="center"/>
          </w:tcPr>
          <w:p w:rsidR="00100D74" w:rsidRDefault="00100D74">
            <w:pPr>
              <w:jc w:val="left"/>
              <w:rPr>
                <w:b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包括“学习方法建议”、“学生课外阅读参考资料”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版块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；明确</w:t>
            </w:r>
            <w:bookmarkStart w:id="12" w:name="OLE_LINK1"/>
            <w:bookmarkStart w:id="13" w:name="OLE_LINK2"/>
            <w:bookmarkStart w:id="14" w:name="OLE_LINK3"/>
            <w:r>
              <w:rPr>
                <w:rFonts w:ascii="宋体" w:hAnsi="宋体" w:cs="宋体" w:hint="eastAsia"/>
                <w:szCs w:val="21"/>
              </w:rPr>
              <w:t>说明</w:t>
            </w:r>
            <w:r>
              <w:rPr>
                <w:rFonts w:ascii="Calibri" w:eastAsia="宋体" w:hAnsi="Calibri" w:cs="Times New Roman" w:hint="eastAsia"/>
                <w:szCs w:val="24"/>
              </w:rPr>
              <w:t>学生应关注学习内容、可利用的学习资源和学习方法</w:t>
            </w:r>
            <w:bookmarkEnd w:id="12"/>
            <w:bookmarkEnd w:id="13"/>
            <w:bookmarkEnd w:id="14"/>
            <w:r>
              <w:rPr>
                <w:rFonts w:ascii="Calibri" w:eastAsia="宋体" w:hAnsi="Calibri" w:cs="Times New Roman" w:hint="eastAsia"/>
                <w:szCs w:val="24"/>
              </w:rPr>
              <w:t>；列举相关书籍、视频及网络资源；对于有</w:t>
            </w:r>
            <w:r>
              <w:rPr>
                <w:rFonts w:ascii="Calibri" w:eastAsia="宋体" w:hAnsi="Calibri" w:cs="Times New Roman" w:hint="eastAsia"/>
                <w:bCs/>
                <w:szCs w:val="24"/>
              </w:rPr>
              <w:t>课外学时</w:t>
            </w:r>
            <w:r>
              <w:rPr>
                <w:rFonts w:ascii="Calibri" w:eastAsia="宋体" w:hAnsi="Calibri" w:cs="Times New Roman" w:hint="eastAsia"/>
                <w:szCs w:val="24"/>
              </w:rPr>
              <w:t>的课程，明确说明课外学时数，课外学习资源、方式和主要内容</w:t>
            </w:r>
            <w:r>
              <w:rPr>
                <w:rFonts w:ascii="宋体" w:hAnsi="宋体" w:cs="宋体" w:hint="eastAsia"/>
                <w:szCs w:val="21"/>
              </w:rPr>
              <w:t>；页面呈现工整、美观。</w:t>
            </w:r>
          </w:p>
        </w:tc>
        <w:tc>
          <w:tcPr>
            <w:tcW w:w="4150" w:type="dxa"/>
            <w:vAlign w:val="center"/>
          </w:tcPr>
          <w:p w:rsidR="00100D74" w:rsidRDefault="00100D74">
            <w:pPr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包括“学习方法建议”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版块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基本包括</w:t>
            </w:r>
            <w:r>
              <w:rPr>
                <w:rFonts w:ascii="Calibri" w:eastAsia="宋体" w:hAnsi="Calibri" w:cs="Times New Roman" w:hint="eastAsia"/>
                <w:szCs w:val="24"/>
              </w:rPr>
              <w:t>学生应关注学习内容、可利用的学习资源和学习方法等信息；能在一定程度上帮助学生进行课程学习。</w:t>
            </w:r>
          </w:p>
        </w:tc>
        <w:tc>
          <w:tcPr>
            <w:tcW w:w="1167" w:type="dxa"/>
            <w:vAlign w:val="center"/>
          </w:tcPr>
          <w:p w:rsidR="00100D74" w:rsidRDefault="00100D74">
            <w:pPr>
              <w:jc w:val="center"/>
              <w:rPr>
                <w:b/>
                <w:szCs w:val="21"/>
              </w:rPr>
            </w:pPr>
          </w:p>
        </w:tc>
      </w:tr>
      <w:tr w:rsidR="00100D74" w:rsidTr="008707EF">
        <w:trPr>
          <w:cantSplit/>
          <w:trHeight w:val="1560"/>
          <w:tblHeader/>
        </w:trPr>
        <w:tc>
          <w:tcPr>
            <w:tcW w:w="1772" w:type="dxa"/>
            <w:vAlign w:val="center"/>
          </w:tcPr>
          <w:p w:rsidR="00100D74" w:rsidRDefault="00100D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课程文档下载</w:t>
            </w:r>
          </w:p>
        </w:tc>
        <w:tc>
          <w:tcPr>
            <w:tcW w:w="1880" w:type="dxa"/>
            <w:vAlign w:val="center"/>
          </w:tcPr>
          <w:p w:rsidR="00100D74" w:rsidRDefault="00100D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“课程教学大纲”文档的内容及格式情况</w:t>
            </w:r>
          </w:p>
        </w:tc>
        <w:tc>
          <w:tcPr>
            <w:tcW w:w="567" w:type="dxa"/>
            <w:vAlign w:val="center"/>
          </w:tcPr>
          <w:p w:rsidR="00100D74" w:rsidRDefault="00100D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639" w:type="dxa"/>
            <w:gridSpan w:val="2"/>
            <w:vAlign w:val="center"/>
          </w:tcPr>
          <w:p w:rsidR="00100D74" w:rsidRDefault="00100D74" w:rsidP="00673E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可下载“课程教学大纲”文档；文档内容与网页呈现内容一致；文档结构完整，格式美观，符合大纲模板和填写说明要求。对于非第一轮开课的课程，“课程历年试题”和“课程教学日历”可下载。</w:t>
            </w:r>
          </w:p>
        </w:tc>
        <w:tc>
          <w:tcPr>
            <w:tcW w:w="4150" w:type="dxa"/>
            <w:vAlign w:val="center"/>
          </w:tcPr>
          <w:p w:rsidR="00100D74" w:rsidRDefault="00100D74" w:rsidP="002C66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可下</w:t>
            </w:r>
            <w:r w:rsidR="002C6608">
              <w:rPr>
                <w:rFonts w:hint="eastAsia"/>
                <w:szCs w:val="21"/>
              </w:rPr>
              <w:t>载“课程教学大纲”文档；文档内容及格式与页面呈现情况大致相同，基本符合大纲模板和填写说明要求。</w:t>
            </w:r>
            <w:bookmarkStart w:id="15" w:name="_GoBack"/>
            <w:bookmarkEnd w:id="15"/>
          </w:p>
        </w:tc>
        <w:tc>
          <w:tcPr>
            <w:tcW w:w="1167" w:type="dxa"/>
            <w:vAlign w:val="center"/>
          </w:tcPr>
          <w:p w:rsidR="00100D74" w:rsidRDefault="00100D74">
            <w:pPr>
              <w:jc w:val="center"/>
              <w:rPr>
                <w:szCs w:val="21"/>
              </w:rPr>
            </w:pPr>
          </w:p>
        </w:tc>
      </w:tr>
      <w:tr w:rsidR="00F750DB" w:rsidTr="00DD671C">
        <w:trPr>
          <w:cantSplit/>
          <w:trHeight w:hRule="exact" w:val="567"/>
          <w:tblHeader/>
        </w:trPr>
        <w:tc>
          <w:tcPr>
            <w:tcW w:w="1772" w:type="dxa"/>
            <w:vAlign w:val="center"/>
          </w:tcPr>
          <w:p w:rsidR="00F750DB" w:rsidRDefault="001B503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评价结果</w:t>
            </w:r>
          </w:p>
        </w:tc>
        <w:tc>
          <w:tcPr>
            <w:tcW w:w="5315" w:type="dxa"/>
            <w:gridSpan w:val="3"/>
            <w:vAlign w:val="center"/>
          </w:tcPr>
          <w:p w:rsidR="00F750DB" w:rsidRDefault="00F750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F750DB" w:rsidRDefault="001B503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评价人签名</w:t>
            </w:r>
          </w:p>
        </w:tc>
        <w:tc>
          <w:tcPr>
            <w:tcW w:w="5317" w:type="dxa"/>
            <w:gridSpan w:val="2"/>
            <w:vAlign w:val="center"/>
          </w:tcPr>
          <w:p w:rsidR="00F750DB" w:rsidRDefault="00F750DB">
            <w:pPr>
              <w:jc w:val="center"/>
              <w:rPr>
                <w:b/>
                <w:szCs w:val="21"/>
              </w:rPr>
            </w:pPr>
          </w:p>
        </w:tc>
      </w:tr>
    </w:tbl>
    <w:p w:rsidR="00F750DB" w:rsidRDefault="00F750DB">
      <w:pPr>
        <w:spacing w:line="20" w:lineRule="exact"/>
        <w:rPr>
          <w:b/>
          <w:sz w:val="32"/>
          <w:szCs w:val="32"/>
        </w:rPr>
      </w:pPr>
    </w:p>
    <w:sectPr w:rsidR="00F750DB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A7" w:rsidRDefault="00577FA7" w:rsidP="007F5028">
      <w:r>
        <w:separator/>
      </w:r>
    </w:p>
  </w:endnote>
  <w:endnote w:type="continuationSeparator" w:id="0">
    <w:p w:rsidR="00577FA7" w:rsidRDefault="00577FA7" w:rsidP="007F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A7" w:rsidRDefault="00577FA7" w:rsidP="007F5028">
      <w:r>
        <w:separator/>
      </w:r>
    </w:p>
  </w:footnote>
  <w:footnote w:type="continuationSeparator" w:id="0">
    <w:p w:rsidR="00577FA7" w:rsidRDefault="00577FA7" w:rsidP="007F5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94"/>
    <w:rsid w:val="0002078E"/>
    <w:rsid w:val="000257E1"/>
    <w:rsid w:val="00025AE1"/>
    <w:rsid w:val="00030A33"/>
    <w:rsid w:val="00032391"/>
    <w:rsid w:val="00073B78"/>
    <w:rsid w:val="0007710A"/>
    <w:rsid w:val="000C5EB3"/>
    <w:rsid w:val="00100D74"/>
    <w:rsid w:val="001037E3"/>
    <w:rsid w:val="001114B9"/>
    <w:rsid w:val="00116366"/>
    <w:rsid w:val="001302AA"/>
    <w:rsid w:val="00132794"/>
    <w:rsid w:val="00136C3A"/>
    <w:rsid w:val="001375E6"/>
    <w:rsid w:val="0014615B"/>
    <w:rsid w:val="0015422E"/>
    <w:rsid w:val="00170B1A"/>
    <w:rsid w:val="0019287D"/>
    <w:rsid w:val="001B503F"/>
    <w:rsid w:val="001D5D0C"/>
    <w:rsid w:val="0020639B"/>
    <w:rsid w:val="002100AD"/>
    <w:rsid w:val="00214E71"/>
    <w:rsid w:val="00227ECD"/>
    <w:rsid w:val="00233508"/>
    <w:rsid w:val="00253AC4"/>
    <w:rsid w:val="0026319B"/>
    <w:rsid w:val="0029072C"/>
    <w:rsid w:val="002C6608"/>
    <w:rsid w:val="002D41BE"/>
    <w:rsid w:val="002E6BC5"/>
    <w:rsid w:val="002F4C8C"/>
    <w:rsid w:val="002F68BF"/>
    <w:rsid w:val="00311514"/>
    <w:rsid w:val="003357EC"/>
    <w:rsid w:val="003370BB"/>
    <w:rsid w:val="003444C3"/>
    <w:rsid w:val="0035587D"/>
    <w:rsid w:val="003848B2"/>
    <w:rsid w:val="003873DE"/>
    <w:rsid w:val="00393FBD"/>
    <w:rsid w:val="003940B1"/>
    <w:rsid w:val="0039488F"/>
    <w:rsid w:val="0039679A"/>
    <w:rsid w:val="003D7694"/>
    <w:rsid w:val="003F43F5"/>
    <w:rsid w:val="004067EA"/>
    <w:rsid w:val="00413C4F"/>
    <w:rsid w:val="00435ECB"/>
    <w:rsid w:val="0046737F"/>
    <w:rsid w:val="004925D0"/>
    <w:rsid w:val="004B3251"/>
    <w:rsid w:val="004D1E65"/>
    <w:rsid w:val="00510092"/>
    <w:rsid w:val="00517593"/>
    <w:rsid w:val="00530F14"/>
    <w:rsid w:val="00547E36"/>
    <w:rsid w:val="00554508"/>
    <w:rsid w:val="005574A2"/>
    <w:rsid w:val="00577FA7"/>
    <w:rsid w:val="00581905"/>
    <w:rsid w:val="005864B3"/>
    <w:rsid w:val="005F5104"/>
    <w:rsid w:val="005F674C"/>
    <w:rsid w:val="00613740"/>
    <w:rsid w:val="00620724"/>
    <w:rsid w:val="00621122"/>
    <w:rsid w:val="006275E7"/>
    <w:rsid w:val="00631DC8"/>
    <w:rsid w:val="006420E7"/>
    <w:rsid w:val="006425D9"/>
    <w:rsid w:val="006428D1"/>
    <w:rsid w:val="00650D57"/>
    <w:rsid w:val="00673EF2"/>
    <w:rsid w:val="00674C90"/>
    <w:rsid w:val="006A7E32"/>
    <w:rsid w:val="006B0476"/>
    <w:rsid w:val="006C166C"/>
    <w:rsid w:val="006C24CD"/>
    <w:rsid w:val="006C3A30"/>
    <w:rsid w:val="006D6DA6"/>
    <w:rsid w:val="006E04C9"/>
    <w:rsid w:val="006E263F"/>
    <w:rsid w:val="006E5135"/>
    <w:rsid w:val="006E5703"/>
    <w:rsid w:val="006F2E26"/>
    <w:rsid w:val="006F34B1"/>
    <w:rsid w:val="0070742A"/>
    <w:rsid w:val="00716B3D"/>
    <w:rsid w:val="007401D7"/>
    <w:rsid w:val="0075179E"/>
    <w:rsid w:val="00784777"/>
    <w:rsid w:val="007A43C7"/>
    <w:rsid w:val="007A5D8D"/>
    <w:rsid w:val="007B1F53"/>
    <w:rsid w:val="007B465B"/>
    <w:rsid w:val="007B7C04"/>
    <w:rsid w:val="007C3870"/>
    <w:rsid w:val="007F5028"/>
    <w:rsid w:val="008047AF"/>
    <w:rsid w:val="00811FD0"/>
    <w:rsid w:val="00816CCB"/>
    <w:rsid w:val="00855C12"/>
    <w:rsid w:val="00857FA4"/>
    <w:rsid w:val="008653E0"/>
    <w:rsid w:val="008678E5"/>
    <w:rsid w:val="00890BEA"/>
    <w:rsid w:val="008A3FB9"/>
    <w:rsid w:val="008B6BF5"/>
    <w:rsid w:val="008F749B"/>
    <w:rsid w:val="009012DB"/>
    <w:rsid w:val="00924D31"/>
    <w:rsid w:val="00940501"/>
    <w:rsid w:val="00947033"/>
    <w:rsid w:val="009639B1"/>
    <w:rsid w:val="00963B9A"/>
    <w:rsid w:val="0096790C"/>
    <w:rsid w:val="00971AD2"/>
    <w:rsid w:val="009A4789"/>
    <w:rsid w:val="009A7046"/>
    <w:rsid w:val="009C4E81"/>
    <w:rsid w:val="009D1F94"/>
    <w:rsid w:val="009E3C56"/>
    <w:rsid w:val="00A00F3D"/>
    <w:rsid w:val="00A04D5F"/>
    <w:rsid w:val="00A1439A"/>
    <w:rsid w:val="00A419D6"/>
    <w:rsid w:val="00A84ABC"/>
    <w:rsid w:val="00AB7CD6"/>
    <w:rsid w:val="00AD5EB7"/>
    <w:rsid w:val="00AF29CC"/>
    <w:rsid w:val="00AF36CC"/>
    <w:rsid w:val="00B15ED8"/>
    <w:rsid w:val="00B2521A"/>
    <w:rsid w:val="00B325DE"/>
    <w:rsid w:val="00B43F8F"/>
    <w:rsid w:val="00B513DF"/>
    <w:rsid w:val="00B549AD"/>
    <w:rsid w:val="00B754BD"/>
    <w:rsid w:val="00B760A3"/>
    <w:rsid w:val="00B83C86"/>
    <w:rsid w:val="00B96D12"/>
    <w:rsid w:val="00BA1DD1"/>
    <w:rsid w:val="00BA44CB"/>
    <w:rsid w:val="00BD0CE6"/>
    <w:rsid w:val="00BD720F"/>
    <w:rsid w:val="00BD7A5A"/>
    <w:rsid w:val="00BE65B1"/>
    <w:rsid w:val="00C03C57"/>
    <w:rsid w:val="00C0704B"/>
    <w:rsid w:val="00C11FD4"/>
    <w:rsid w:val="00C154A7"/>
    <w:rsid w:val="00C22090"/>
    <w:rsid w:val="00C31717"/>
    <w:rsid w:val="00C33A42"/>
    <w:rsid w:val="00C43E42"/>
    <w:rsid w:val="00C81313"/>
    <w:rsid w:val="00CB6CE0"/>
    <w:rsid w:val="00CC41EA"/>
    <w:rsid w:val="00CD4DD5"/>
    <w:rsid w:val="00CE20B6"/>
    <w:rsid w:val="00CF7466"/>
    <w:rsid w:val="00D03D81"/>
    <w:rsid w:val="00D07E36"/>
    <w:rsid w:val="00D10B5F"/>
    <w:rsid w:val="00D34331"/>
    <w:rsid w:val="00D363FC"/>
    <w:rsid w:val="00D37E88"/>
    <w:rsid w:val="00D41A92"/>
    <w:rsid w:val="00D42AC3"/>
    <w:rsid w:val="00D77EF1"/>
    <w:rsid w:val="00D93CC8"/>
    <w:rsid w:val="00DA4A89"/>
    <w:rsid w:val="00DC20B9"/>
    <w:rsid w:val="00DD2773"/>
    <w:rsid w:val="00DD671C"/>
    <w:rsid w:val="00DE3A3F"/>
    <w:rsid w:val="00DE3C42"/>
    <w:rsid w:val="00DE7788"/>
    <w:rsid w:val="00DF58B8"/>
    <w:rsid w:val="00E00580"/>
    <w:rsid w:val="00E03D15"/>
    <w:rsid w:val="00E06FBE"/>
    <w:rsid w:val="00E07BB5"/>
    <w:rsid w:val="00E156EA"/>
    <w:rsid w:val="00E17B28"/>
    <w:rsid w:val="00E33E66"/>
    <w:rsid w:val="00E43F99"/>
    <w:rsid w:val="00E46552"/>
    <w:rsid w:val="00E46C9E"/>
    <w:rsid w:val="00E54073"/>
    <w:rsid w:val="00E71800"/>
    <w:rsid w:val="00E75D57"/>
    <w:rsid w:val="00EA6FCF"/>
    <w:rsid w:val="00EB67C9"/>
    <w:rsid w:val="00ED59EC"/>
    <w:rsid w:val="00EF0D50"/>
    <w:rsid w:val="00EF52D9"/>
    <w:rsid w:val="00EF7003"/>
    <w:rsid w:val="00F14E2F"/>
    <w:rsid w:val="00F212C0"/>
    <w:rsid w:val="00F43902"/>
    <w:rsid w:val="00F54E45"/>
    <w:rsid w:val="00F64BE9"/>
    <w:rsid w:val="00F750DB"/>
    <w:rsid w:val="00F859F3"/>
    <w:rsid w:val="00F8799F"/>
    <w:rsid w:val="00F93608"/>
    <w:rsid w:val="00F970F6"/>
    <w:rsid w:val="00FA263E"/>
    <w:rsid w:val="00FC29AD"/>
    <w:rsid w:val="00FC4B2D"/>
    <w:rsid w:val="00FD1D29"/>
    <w:rsid w:val="00FD775D"/>
    <w:rsid w:val="00FF67DB"/>
    <w:rsid w:val="364C5621"/>
    <w:rsid w:val="77E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Pr>
      <w:rFonts w:ascii="Calibri" w:eastAsia="宋体" w:hAnsi="Calibri" w:cs="Times New Roman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Pr>
      <w:rFonts w:ascii="Calibri" w:eastAsia="宋体" w:hAnsi="Calibri" w:cs="Times New Roman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405D96-7383-493B-9759-466F2130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zhelun</dc:creator>
  <cp:lastModifiedBy>zhelun</cp:lastModifiedBy>
  <cp:revision>156</cp:revision>
  <dcterms:created xsi:type="dcterms:W3CDTF">2017-02-27T09:20:00Z</dcterms:created>
  <dcterms:modified xsi:type="dcterms:W3CDTF">2017-03-08T02:23:00Z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